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02ABA" w14:textId="77777777" w:rsidR="004C50E5" w:rsidRDefault="004C50E5" w:rsidP="00720052">
      <w:pPr>
        <w:tabs>
          <w:tab w:val="left" w:pos="740"/>
        </w:tabs>
        <w:jc w:val="both"/>
        <w:rPr>
          <w:rFonts w:ascii="Calibri Light" w:eastAsiaTheme="majorEastAsia" w:hAnsi="Calibri Light" w:cstheme="majorBidi"/>
          <w:b/>
          <w:color w:val="548DD4" w:themeColor="text2" w:themeTint="99"/>
          <w:kern w:val="28"/>
          <w:sz w:val="52"/>
          <w:szCs w:val="52"/>
          <w:lang w:eastAsia="ja-JP"/>
        </w:rPr>
      </w:pPr>
      <w:bookmarkStart w:id="0" w:name="_GoBack"/>
      <w:bookmarkEnd w:id="0"/>
    </w:p>
    <w:p w14:paraId="4C93FE08" w14:textId="77777777" w:rsidR="004C50E5" w:rsidRDefault="004C50E5" w:rsidP="00720052">
      <w:pPr>
        <w:tabs>
          <w:tab w:val="left" w:pos="740"/>
        </w:tabs>
        <w:jc w:val="both"/>
        <w:rPr>
          <w:rFonts w:ascii="Calibri Light" w:eastAsiaTheme="majorEastAsia" w:hAnsi="Calibri Light" w:cstheme="majorBidi"/>
          <w:b/>
          <w:color w:val="548DD4" w:themeColor="text2" w:themeTint="99"/>
          <w:kern w:val="28"/>
          <w:sz w:val="52"/>
          <w:szCs w:val="52"/>
          <w:lang w:eastAsia="ja-JP"/>
        </w:rPr>
      </w:pPr>
    </w:p>
    <w:p w14:paraId="02F654EA" w14:textId="77777777" w:rsidR="009F6617" w:rsidRDefault="009F6617" w:rsidP="00720052">
      <w:pPr>
        <w:tabs>
          <w:tab w:val="left" w:pos="740"/>
        </w:tabs>
        <w:jc w:val="both"/>
        <w:rPr>
          <w:rFonts w:ascii="Calibri Light" w:eastAsiaTheme="majorEastAsia" w:hAnsi="Calibri Light" w:cstheme="majorBidi"/>
          <w:b/>
          <w:color w:val="548DD4" w:themeColor="text2" w:themeTint="99"/>
          <w:kern w:val="28"/>
          <w:sz w:val="52"/>
          <w:szCs w:val="52"/>
          <w:lang w:eastAsia="ja-JP"/>
        </w:rPr>
      </w:pPr>
    </w:p>
    <w:p w14:paraId="6485584A" w14:textId="77777777" w:rsidR="00720052" w:rsidRPr="00720052" w:rsidRDefault="004C50E5" w:rsidP="009F6617">
      <w:pPr>
        <w:tabs>
          <w:tab w:val="left" w:pos="740"/>
        </w:tabs>
        <w:rPr>
          <w:rFonts w:ascii="Calibri Light" w:eastAsiaTheme="majorEastAsia" w:hAnsi="Calibri Light" w:cstheme="majorBidi"/>
          <w:b/>
          <w:color w:val="548DD4" w:themeColor="text2" w:themeTint="99"/>
          <w:kern w:val="28"/>
          <w:sz w:val="52"/>
          <w:szCs w:val="52"/>
          <w:lang w:eastAsia="ja-JP"/>
        </w:rPr>
      </w:pPr>
      <w:r>
        <w:rPr>
          <w:rFonts w:ascii="Calibri Light" w:eastAsiaTheme="majorEastAsia" w:hAnsi="Calibri Light" w:cstheme="majorBidi"/>
          <w:b/>
          <w:noProof/>
          <w:color w:val="548DD4" w:themeColor="text2" w:themeTint="99"/>
          <w:kern w:val="28"/>
          <w:sz w:val="52"/>
          <w:szCs w:val="52"/>
        </w:rPr>
        <w:drawing>
          <wp:anchor distT="0" distB="0" distL="114300" distR="114300" simplePos="0" relativeHeight="251659775" behindDoc="1" locked="1" layoutInCell="1" allowOverlap="1" wp14:anchorId="50F9A924" wp14:editId="14DAA2DF">
            <wp:simplePos x="0" y="0"/>
            <wp:positionH relativeFrom="column">
              <wp:posOffset>-2221230</wp:posOffset>
            </wp:positionH>
            <wp:positionV relativeFrom="page">
              <wp:posOffset>3810</wp:posOffset>
            </wp:positionV>
            <wp:extent cx="7597775" cy="107442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a_intestata_filiera.jpg"/>
                    <pic:cNvPicPr/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775" cy="107442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052" w:rsidRPr="00720052">
        <w:rPr>
          <w:rFonts w:ascii="Calibri Light" w:eastAsiaTheme="majorEastAsia" w:hAnsi="Calibri Light" w:cstheme="majorBidi"/>
          <w:b/>
          <w:color w:val="548DD4" w:themeColor="text2" w:themeTint="99"/>
          <w:kern w:val="28"/>
          <w:sz w:val="52"/>
          <w:szCs w:val="52"/>
          <w:lang w:eastAsia="ja-JP"/>
        </w:rPr>
        <w:t xml:space="preserve">Detassazione della comunicazione pubblicitaria </w:t>
      </w:r>
    </w:p>
    <w:p w14:paraId="08021240" w14:textId="77777777" w:rsidR="009F6617" w:rsidRDefault="009F6617" w:rsidP="009F6617">
      <w:pPr>
        <w:tabs>
          <w:tab w:val="left" w:pos="740"/>
        </w:tabs>
        <w:rPr>
          <w:rFonts w:ascii="Calibri Light" w:eastAsiaTheme="majorEastAsia" w:hAnsi="Calibri Light" w:cstheme="majorBidi"/>
          <w:i/>
          <w:color w:val="548DD4" w:themeColor="text2" w:themeTint="99"/>
          <w:kern w:val="28"/>
          <w:sz w:val="32"/>
          <w:szCs w:val="32"/>
          <w:lang w:eastAsia="ja-JP"/>
        </w:rPr>
      </w:pPr>
    </w:p>
    <w:p w14:paraId="6A98F17C" w14:textId="77777777" w:rsidR="002F03A9" w:rsidRPr="00720052" w:rsidRDefault="00720052" w:rsidP="009F6617">
      <w:pPr>
        <w:tabs>
          <w:tab w:val="left" w:pos="740"/>
        </w:tabs>
        <w:rPr>
          <w:rFonts w:ascii="Calibri Light" w:hAnsi="Calibri Light"/>
          <w:i/>
          <w:color w:val="548DD4" w:themeColor="text2" w:themeTint="99"/>
          <w:sz w:val="32"/>
          <w:szCs w:val="32"/>
        </w:rPr>
      </w:pPr>
      <w:r w:rsidRPr="00720052">
        <w:rPr>
          <w:rFonts w:ascii="Calibri Light" w:eastAsiaTheme="majorEastAsia" w:hAnsi="Calibri Light" w:cstheme="majorBidi"/>
          <w:i/>
          <w:color w:val="548DD4" w:themeColor="text2" w:themeTint="99"/>
          <w:kern w:val="28"/>
          <w:sz w:val="32"/>
          <w:szCs w:val="32"/>
          <w:lang w:eastAsia="ja-JP"/>
        </w:rPr>
        <w:t xml:space="preserve">Una proposta della Filiera della Carta, Editoria, Stampa e Trasformazione </w:t>
      </w:r>
      <w:r w:rsidRPr="00123EE1">
        <w:rPr>
          <w:rFonts w:ascii="Calibri Light" w:eastAsiaTheme="majorEastAsia" w:hAnsi="Calibri Light" w:cstheme="majorBidi"/>
          <w:b/>
          <w:i/>
          <w:color w:val="548DD4" w:themeColor="text2" w:themeTint="99"/>
          <w:kern w:val="28"/>
          <w:sz w:val="32"/>
          <w:szCs w:val="32"/>
          <w:lang w:eastAsia="ja-JP"/>
        </w:rPr>
        <w:t>per rilanciare gli investimenti</w:t>
      </w:r>
    </w:p>
    <w:p w14:paraId="087523C0" w14:textId="77777777" w:rsidR="002F03A9" w:rsidRDefault="002F03A9">
      <w:pPr>
        <w:rPr>
          <w:color w:val="548DD4" w:themeColor="text2" w:themeTint="99"/>
          <w:sz w:val="32"/>
          <w:szCs w:val="32"/>
        </w:rPr>
      </w:pPr>
      <w:r>
        <w:rPr>
          <w:color w:val="548DD4" w:themeColor="text2" w:themeTint="99"/>
          <w:sz w:val="32"/>
          <w:szCs w:val="32"/>
        </w:rPr>
        <w:br w:type="page"/>
      </w:r>
    </w:p>
    <w:p w14:paraId="10E94057" w14:textId="77777777" w:rsidR="0057158E" w:rsidRDefault="0057158E" w:rsidP="002F03A9">
      <w:pPr>
        <w:ind w:left="-2127" w:right="-149"/>
        <w:jc w:val="both"/>
        <w:rPr>
          <w:rFonts w:ascii="Century Gothic" w:eastAsia="Times New Roman" w:hAnsi="Century Gothic"/>
          <w:b/>
          <w:color w:val="548DD4" w:themeColor="text2" w:themeTint="99"/>
        </w:rPr>
      </w:pPr>
    </w:p>
    <w:p w14:paraId="5F55F6EF" w14:textId="77777777" w:rsidR="002F03A9" w:rsidRPr="0095247E" w:rsidRDefault="002F03A9" w:rsidP="002F03A9">
      <w:pPr>
        <w:ind w:left="-2127" w:right="-149"/>
        <w:jc w:val="both"/>
        <w:rPr>
          <w:rFonts w:ascii="Century Gothic" w:eastAsia="Times New Roman" w:hAnsi="Century Gothic"/>
          <w:b/>
          <w:color w:val="548DD4" w:themeColor="text2" w:themeTint="99"/>
        </w:rPr>
      </w:pPr>
      <w:r w:rsidRPr="0095247E">
        <w:rPr>
          <w:noProof/>
        </w:rPr>
        <mc:AlternateContent>
          <mc:Choice Requires="wps">
            <w:drawing>
              <wp:anchor distT="0" distB="0" distL="118745" distR="118745" simplePos="0" relativeHeight="251660800" behindDoc="1" locked="0" layoutInCell="1" allowOverlap="0" wp14:anchorId="22A701DB" wp14:editId="7BFEF4EA">
                <wp:simplePos x="0" y="0"/>
                <wp:positionH relativeFrom="margin">
                  <wp:posOffset>-1360170</wp:posOffset>
                </wp:positionH>
                <wp:positionV relativeFrom="page">
                  <wp:posOffset>485775</wp:posOffset>
                </wp:positionV>
                <wp:extent cx="6153150" cy="426720"/>
                <wp:effectExtent l="0" t="0" r="0" b="0"/>
                <wp:wrapSquare wrapText="bothSides"/>
                <wp:docPr id="2" name="Rettangolo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42672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C4759" w14:textId="62F660ED" w:rsidR="002F03A9" w:rsidRPr="009F6617" w:rsidRDefault="0057158E" w:rsidP="009F6617">
                            <w:pPr>
                              <w:tabs>
                                <w:tab w:val="center" w:pos="4819"/>
                                <w:tab w:val="right" w:pos="9638"/>
                              </w:tabs>
                              <w:rPr>
                                <w:rFonts w:ascii="Calibri" w:eastAsia="Times New Roman" w:hAnsi="Calibri"/>
                                <w:caps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57158E">
                              <w:rPr>
                                <w:rFonts w:ascii="Calibri" w:eastAsia="Times New Roman" w:hAnsi="Calibri"/>
                                <w:b/>
                                <w:color w:val="FFFFFF"/>
                                <w:sz w:val="20"/>
                                <w:szCs w:val="20"/>
                              </w:rPr>
                              <w:t>DETASSARE LA COMUNICAZIONE PUBBLICITARIA PER RILANCIARE GLI INVESTIMENTI                                               UNA PROPOSTA DELLA FILIERA DELLA CARTA, EDITORIA, STAMPA E TRASFORMAZIONE – 16 MARZO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A701DB" id="Rettangolo 197" o:spid="_x0000_s1026" style="position:absolute;left:0;text-align:left;margin-left:-107.1pt;margin-top:38.25pt;width:484.5pt;height:33.6pt;z-index:-251655680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" o:allowoverlap="f" fillcolor="#4f81bd [3204]" stroked="f" strokeweight="2pt">
                <v:path arrowok="t"/>
                <v:textbox style="mso-fit-shape-to-text:t">
                  <w:txbxContent>
                    <w:p w14:paraId="1B5C4759" w14:textId="62F660ED" w:rsidR="002F03A9" w:rsidRPr="009F6617" w:rsidRDefault="0057158E" w:rsidP="009F6617">
                      <w:pPr>
                        <w:tabs>
                          <w:tab w:val="center" w:pos="4819"/>
                          <w:tab w:val="right" w:pos="9638"/>
                        </w:tabs>
                        <w:rPr>
                          <w:rFonts w:ascii="Calibri" w:eastAsia="Times New Roman" w:hAnsi="Calibri"/>
                          <w:caps/>
                          <w:color w:val="FFFFFF"/>
                          <w:sz w:val="22"/>
                          <w:szCs w:val="22"/>
                        </w:rPr>
                      </w:pPr>
                      <w:r w:rsidRPr="0057158E">
                        <w:rPr>
                          <w:rFonts w:ascii="Calibri" w:eastAsia="Times New Roman" w:hAnsi="Calibri"/>
                          <w:b/>
                          <w:color w:val="FFFFFF"/>
                          <w:sz w:val="20"/>
                          <w:szCs w:val="20"/>
                        </w:rPr>
                        <w:t>DETASSARE LA COMUNICAZIONE PUBBLICITARIA PER RILANCIARE GLI INVESTIMENTI                                               UNA PROPOSTA DELLA FILIERA DELLA CARTA, EDITORIA, STAMPA E TRASFORMAZIONE – 16 MARZO 2016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Pr="0095247E">
        <w:rPr>
          <w:rFonts w:ascii="Century Gothic" w:eastAsia="Times New Roman" w:hAnsi="Century Gothic"/>
          <w:b/>
          <w:color w:val="548DD4" w:themeColor="text2" w:themeTint="99"/>
        </w:rPr>
        <w:t>Premessa</w:t>
      </w:r>
    </w:p>
    <w:p w14:paraId="7FEF2AE7" w14:textId="77777777" w:rsidR="002F03A9" w:rsidRPr="0095247E" w:rsidRDefault="002F03A9" w:rsidP="002F03A9">
      <w:pPr>
        <w:ind w:left="-2127" w:right="-149"/>
        <w:jc w:val="both"/>
        <w:rPr>
          <w:rFonts w:ascii="Century Gothic" w:eastAsia="Times New Roman" w:hAnsi="Century Gothic"/>
          <w:color w:val="000000"/>
        </w:rPr>
      </w:pPr>
    </w:p>
    <w:p w14:paraId="154DD855" w14:textId="237372A0" w:rsidR="002F03A9" w:rsidRPr="0095247E" w:rsidRDefault="002F03A9" w:rsidP="002F03A9">
      <w:pPr>
        <w:ind w:left="-2127" w:right="-149"/>
        <w:jc w:val="both"/>
        <w:rPr>
          <w:rFonts w:ascii="Century Gothic" w:eastAsia="Times New Roman" w:hAnsi="Century Gothic"/>
          <w:color w:val="000000"/>
        </w:rPr>
      </w:pPr>
      <w:r w:rsidRPr="0095247E">
        <w:rPr>
          <w:rFonts w:ascii="Century Gothic" w:eastAsia="Times New Roman" w:hAnsi="Century Gothic"/>
          <w:color w:val="000000"/>
        </w:rPr>
        <w:t>I dati dell’andamento economico-produttivo dell’editoria giornalistica del nostro Paese evidenziano la radicalità e la profondità della crisi del settore, soprattutto sul mercato della comunicazione pubblicitaria.</w:t>
      </w:r>
      <w:r w:rsidR="0095247E">
        <w:rPr>
          <w:rFonts w:ascii="Century Gothic" w:eastAsia="Times New Roman" w:hAnsi="Century Gothic"/>
          <w:color w:val="000000"/>
        </w:rPr>
        <w:t xml:space="preserve"> </w:t>
      </w:r>
      <w:r w:rsidRPr="0095247E">
        <w:rPr>
          <w:rFonts w:ascii="Century Gothic" w:eastAsia="Times New Roman" w:hAnsi="Century Gothic"/>
          <w:color w:val="000000"/>
        </w:rPr>
        <w:t xml:space="preserve">Il mercato della pubblicità ha registrato una forte contrazione negli ultimi anni: dal 2007 al 2015 gli investimenti pubblicitari sono diminuiti del 32,4% (da 9,0 a 6,1 miliardi di euro). </w:t>
      </w:r>
    </w:p>
    <w:p w14:paraId="6670E475" w14:textId="77777777" w:rsidR="002F03A9" w:rsidRPr="0095247E" w:rsidRDefault="002F03A9" w:rsidP="002F03A9">
      <w:pPr>
        <w:ind w:left="-2127" w:right="-149"/>
        <w:jc w:val="both"/>
        <w:rPr>
          <w:rFonts w:ascii="Century Gothic" w:eastAsia="Times New Roman" w:hAnsi="Century Gothic"/>
          <w:color w:val="000000"/>
        </w:rPr>
      </w:pPr>
    </w:p>
    <w:p w14:paraId="13F94375" w14:textId="1F011940" w:rsidR="002F03A9" w:rsidRPr="0095247E" w:rsidRDefault="002F03A9" w:rsidP="002F03A9">
      <w:pPr>
        <w:ind w:left="-2127" w:right="-149"/>
        <w:jc w:val="both"/>
        <w:rPr>
          <w:rFonts w:ascii="Century Gothic" w:eastAsia="Times New Roman" w:hAnsi="Century Gothic"/>
          <w:color w:val="000000"/>
        </w:rPr>
      </w:pPr>
      <w:r w:rsidRPr="0095247E">
        <w:rPr>
          <w:rFonts w:ascii="Century Gothic" w:eastAsia="Times New Roman" w:hAnsi="Century Gothic"/>
          <w:color w:val="000000"/>
        </w:rPr>
        <w:t>In questo quadro, l’andamento degli investimenti pubblicitari sulla stampa (quotidiani e periodici) risulta ancora più critico: tra il 2007 e il 2015, gli investimenti in comunicazione pubblicitaria su quotidiani e periodici sono calati del 61,5% (da 2,8 a 1,1 miliardi di euro), con la conseguenza di quasi dimezzare la loro incidenza sul totale, passata dal 31,0 al 17,6%.</w:t>
      </w:r>
    </w:p>
    <w:p w14:paraId="5C9DA902" w14:textId="77777777" w:rsidR="002F03A9" w:rsidRPr="0095247E" w:rsidRDefault="002F03A9" w:rsidP="002F03A9">
      <w:pPr>
        <w:ind w:left="-2127" w:right="-149"/>
        <w:jc w:val="both"/>
        <w:rPr>
          <w:rFonts w:ascii="Century Gothic" w:eastAsia="Times New Roman" w:hAnsi="Century Gothic"/>
          <w:color w:val="000000"/>
        </w:rPr>
      </w:pPr>
    </w:p>
    <w:p w14:paraId="276992D6" w14:textId="77777777" w:rsidR="002F03A9" w:rsidRPr="0095247E" w:rsidRDefault="002F03A9" w:rsidP="002F03A9">
      <w:pPr>
        <w:ind w:left="-2127" w:right="-149"/>
        <w:jc w:val="both"/>
        <w:rPr>
          <w:rFonts w:ascii="Century Gothic" w:eastAsia="Times New Roman" w:hAnsi="Century Gothic"/>
          <w:color w:val="000000"/>
        </w:rPr>
      </w:pPr>
      <w:r w:rsidRPr="0095247E">
        <w:rPr>
          <w:rFonts w:ascii="Century Gothic" w:eastAsia="Times New Roman" w:hAnsi="Century Gothic"/>
          <w:color w:val="000000"/>
        </w:rPr>
        <w:t>Nello scorso anno (2015) si è registrata una seppur timida ripresa degli investimenti pubblicitari su alcuni mezzi (gli investimenti in tv sono cresciuti dello 0,7%) in un quadro complessivo di sostanziale stabilità (-0,5%) del mercato. È, invece, continuata la crisi della stampa: i quotidiani e i periodici hanno infatti confermato un dato di preoccupante flessione (-6,6% i quotidiani e -3,9% i periodici).</w:t>
      </w:r>
    </w:p>
    <w:p w14:paraId="1832DECE" w14:textId="77777777" w:rsidR="002F03A9" w:rsidRPr="0095247E" w:rsidRDefault="002F03A9" w:rsidP="002F03A9">
      <w:pPr>
        <w:ind w:left="-2127" w:right="-149"/>
        <w:jc w:val="both"/>
        <w:rPr>
          <w:rFonts w:ascii="Century Gothic" w:eastAsia="Times New Roman" w:hAnsi="Century Gothic"/>
          <w:color w:val="000000"/>
        </w:rPr>
      </w:pPr>
    </w:p>
    <w:p w14:paraId="729A4E1D" w14:textId="77777777" w:rsidR="002F03A9" w:rsidRPr="0095247E" w:rsidRDefault="002F03A9" w:rsidP="002F03A9">
      <w:pPr>
        <w:ind w:left="-2127" w:right="-149"/>
        <w:jc w:val="both"/>
        <w:rPr>
          <w:rFonts w:ascii="Century Gothic" w:eastAsia="Times New Roman" w:hAnsi="Century Gothic"/>
          <w:color w:val="000000"/>
        </w:rPr>
      </w:pPr>
      <w:r w:rsidRPr="0095247E">
        <w:rPr>
          <w:rFonts w:ascii="Century Gothic" w:eastAsia="Times New Roman" w:hAnsi="Century Gothic"/>
          <w:color w:val="000000"/>
        </w:rPr>
        <w:t>La comunicazione pubblicitaria costituisce un utile strumento di sostegno della domanda di beni e servizi, ma anche una preziosa fonte di finanziamento dei mezzi di informazione. La crisi della comunicazione pubblicitaria non aiuta la ripresa dei consumi e riduce le risorse necessarie per la produzione di contenuti informativi di qualità.</w:t>
      </w:r>
    </w:p>
    <w:p w14:paraId="24B3A11A" w14:textId="77777777" w:rsidR="002F03A9" w:rsidRPr="0095247E" w:rsidRDefault="002F03A9" w:rsidP="002F03A9">
      <w:pPr>
        <w:ind w:left="-2127" w:right="-149"/>
        <w:jc w:val="both"/>
        <w:rPr>
          <w:rFonts w:ascii="Century Gothic" w:eastAsia="Times New Roman" w:hAnsi="Century Gothic"/>
          <w:color w:val="000000"/>
        </w:rPr>
      </w:pPr>
    </w:p>
    <w:p w14:paraId="1A3831F2" w14:textId="77777777" w:rsidR="002F03A9" w:rsidRPr="0095247E" w:rsidRDefault="002F03A9" w:rsidP="002F03A9">
      <w:pPr>
        <w:ind w:left="-2127" w:right="-149"/>
        <w:jc w:val="both"/>
        <w:rPr>
          <w:rFonts w:ascii="Century Gothic" w:hAnsi="Century Gothic"/>
        </w:rPr>
      </w:pPr>
      <w:r w:rsidRPr="0095247E">
        <w:rPr>
          <w:rFonts w:ascii="Century Gothic" w:eastAsia="Times New Roman" w:hAnsi="Century Gothic"/>
          <w:color w:val="000000"/>
        </w:rPr>
        <w:t xml:space="preserve">La misura proposta </w:t>
      </w:r>
      <w:r w:rsidRPr="0095247E">
        <w:rPr>
          <w:rFonts w:ascii="Century Gothic" w:hAnsi="Century Gothic"/>
        </w:rPr>
        <w:t>è volta, pertanto, al conseguimento di un duplice effetto positivo: rilanciare gli investimenti pubblicitari, che nella crisi svolgono una evidente e riconosciuta funzione prociclica di spinta ai consumi in un momento in cui i dati economici segnalano l’avvio della ripresa e, nel contempo, garantire risorse ai mezzi di informazione (quotidiani e periodici) che svolgono una insostituibile funzione di veicolo di cultura e libertà.</w:t>
      </w:r>
    </w:p>
    <w:p w14:paraId="78E0E009" w14:textId="77777777" w:rsidR="002F03A9" w:rsidRPr="0095247E" w:rsidRDefault="002F03A9" w:rsidP="002F03A9">
      <w:pPr>
        <w:ind w:left="-2127" w:right="-149"/>
        <w:jc w:val="both"/>
        <w:rPr>
          <w:rFonts w:ascii="Century Gothic" w:hAnsi="Century Gothic"/>
          <w:color w:val="548DD4" w:themeColor="text2" w:themeTint="99"/>
        </w:rPr>
      </w:pPr>
    </w:p>
    <w:p w14:paraId="65FFB247" w14:textId="77777777" w:rsidR="002F03A9" w:rsidRPr="0095247E" w:rsidRDefault="002F03A9" w:rsidP="002F03A9">
      <w:pPr>
        <w:ind w:left="-2127" w:right="-149"/>
        <w:jc w:val="both"/>
        <w:rPr>
          <w:rFonts w:ascii="Century Gothic" w:eastAsia="Times New Roman" w:hAnsi="Century Gothic"/>
          <w:b/>
          <w:color w:val="548DD4" w:themeColor="text2" w:themeTint="99"/>
        </w:rPr>
      </w:pPr>
      <w:r w:rsidRPr="0095247E">
        <w:rPr>
          <w:rFonts w:ascii="Century Gothic" w:eastAsia="Times New Roman" w:hAnsi="Century Gothic"/>
          <w:b/>
          <w:color w:val="548DD4" w:themeColor="text2" w:themeTint="99"/>
        </w:rPr>
        <w:t>La proposta</w:t>
      </w:r>
    </w:p>
    <w:p w14:paraId="1D67351F" w14:textId="77777777" w:rsidR="002F03A9" w:rsidRPr="0095247E" w:rsidRDefault="002F03A9" w:rsidP="002F03A9">
      <w:pPr>
        <w:ind w:left="-2127" w:right="-149"/>
        <w:jc w:val="both"/>
        <w:rPr>
          <w:rFonts w:ascii="Century Gothic" w:eastAsia="Times New Roman" w:hAnsi="Century Gothic"/>
          <w:b/>
          <w:color w:val="000000"/>
        </w:rPr>
      </w:pPr>
    </w:p>
    <w:p w14:paraId="1B6DAC3F" w14:textId="64A47971" w:rsidR="002F03A9" w:rsidRPr="0095247E" w:rsidRDefault="002F03A9" w:rsidP="002F03A9">
      <w:pPr>
        <w:spacing w:after="120"/>
        <w:ind w:left="-2127" w:right="-149"/>
        <w:jc w:val="both"/>
        <w:rPr>
          <w:rFonts w:ascii="Century Gothic" w:hAnsi="Century Gothic"/>
        </w:rPr>
      </w:pPr>
      <w:r w:rsidRPr="0095247E">
        <w:rPr>
          <w:rFonts w:ascii="Century Gothic" w:eastAsia="Times New Roman" w:hAnsi="Century Gothic"/>
          <w:color w:val="000000"/>
        </w:rPr>
        <w:t xml:space="preserve">Si propone di </w:t>
      </w:r>
      <w:r w:rsidRPr="009F6617">
        <w:rPr>
          <w:rFonts w:ascii="Century Gothic" w:eastAsia="Times New Roman" w:hAnsi="Century Gothic"/>
          <w:b/>
          <w:color w:val="000000"/>
        </w:rPr>
        <w:t xml:space="preserve">escludere </w:t>
      </w:r>
      <w:r w:rsidRPr="009F6617">
        <w:rPr>
          <w:rFonts w:ascii="Century Gothic" w:hAnsi="Century Gothic"/>
          <w:b/>
        </w:rPr>
        <w:t xml:space="preserve">dall’imposizione del reddito di impresa e di lavoro autonomo </w:t>
      </w:r>
      <w:r w:rsidR="00945F5E">
        <w:rPr>
          <w:rFonts w:ascii="Century Gothic" w:hAnsi="Century Gothic"/>
          <w:b/>
        </w:rPr>
        <w:t>una percentuale</w:t>
      </w:r>
      <w:r w:rsidRPr="009F6617">
        <w:rPr>
          <w:rFonts w:ascii="Century Gothic" w:hAnsi="Century Gothic"/>
          <w:b/>
        </w:rPr>
        <w:t xml:space="preserve"> degli investimenti in campagne </w:t>
      </w:r>
      <w:r w:rsidRPr="009F6617">
        <w:rPr>
          <w:rFonts w:ascii="Century Gothic" w:hAnsi="Century Gothic"/>
          <w:b/>
        </w:rPr>
        <w:lastRenderedPageBreak/>
        <w:t>pubblicitarie effettuate nell’anno 2016 e nei tre anni successivi su quotidiani e periodici, anche online</w:t>
      </w:r>
      <w:r w:rsidRPr="0095247E">
        <w:rPr>
          <w:rFonts w:ascii="Century Gothic" w:hAnsi="Century Gothic"/>
        </w:rPr>
        <w:t>. La percentuale di detassazione</w:t>
      </w:r>
      <w:r w:rsidR="001C03EB">
        <w:rPr>
          <w:rFonts w:ascii="Century Gothic" w:hAnsi="Century Gothic"/>
        </w:rPr>
        <w:t xml:space="preserve"> </w:t>
      </w:r>
      <w:r w:rsidR="00945F5E">
        <w:rPr>
          <w:rFonts w:ascii="Century Gothic" w:hAnsi="Century Gothic"/>
        </w:rPr>
        <w:t>è superiore</w:t>
      </w:r>
      <w:r w:rsidRPr="0095247E">
        <w:rPr>
          <w:rFonts w:ascii="Century Gothic" w:hAnsi="Century Gothic"/>
        </w:rPr>
        <w:t xml:space="preserve"> sulla parte di investimenti in eccedenza rispetto agli investimenti realizzati nel corso dell’anno precedente.</w:t>
      </w:r>
    </w:p>
    <w:p w14:paraId="5975B963" w14:textId="77777777" w:rsidR="002F03A9" w:rsidRPr="0095247E" w:rsidRDefault="002F03A9" w:rsidP="002F03A9">
      <w:pPr>
        <w:spacing w:after="120"/>
        <w:ind w:left="-2127" w:right="-149"/>
        <w:jc w:val="both"/>
        <w:rPr>
          <w:rFonts w:ascii="Century Gothic" w:hAnsi="Century Gothic"/>
        </w:rPr>
      </w:pPr>
      <w:r w:rsidRPr="0095247E">
        <w:rPr>
          <w:rFonts w:ascii="Century Gothic" w:hAnsi="Century Gothic"/>
        </w:rPr>
        <w:t>Per avere accesso all’incentivo è necessario realizzare nel corso dell’anno investimenti pubblicitari su quotidiani e periodici almeno pari a quelli dell’anno precedente.</w:t>
      </w:r>
    </w:p>
    <w:p w14:paraId="1455F644" w14:textId="77777777" w:rsidR="002F03A9" w:rsidRPr="0095247E" w:rsidRDefault="002F03A9" w:rsidP="002F03A9">
      <w:pPr>
        <w:spacing w:after="120"/>
        <w:ind w:left="-1985"/>
        <w:jc w:val="both"/>
        <w:rPr>
          <w:rFonts w:ascii="Century Gothic" w:hAnsi="Century Gothic"/>
        </w:rPr>
      </w:pPr>
    </w:p>
    <w:sectPr w:rsidR="002F03A9" w:rsidRPr="0095247E" w:rsidSect="00340023">
      <w:footerReference w:type="default" r:id="rId8"/>
      <w:pgSz w:w="11900" w:h="16820"/>
      <w:pgMar w:top="1559" w:right="1134" w:bottom="992" w:left="34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46574" w14:textId="77777777" w:rsidR="005C2971" w:rsidRDefault="005C2971" w:rsidP="002F03A9">
      <w:r>
        <w:separator/>
      </w:r>
    </w:p>
  </w:endnote>
  <w:endnote w:type="continuationSeparator" w:id="0">
    <w:p w14:paraId="73F9E031" w14:textId="77777777" w:rsidR="005C2971" w:rsidRDefault="005C2971" w:rsidP="002F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16"/>
        <w:szCs w:val="16"/>
      </w:rPr>
      <w:id w:val="396477475"/>
      <w:docPartObj>
        <w:docPartGallery w:val="Page Numbers (Bottom of Page)"/>
        <w:docPartUnique/>
      </w:docPartObj>
    </w:sdtPr>
    <w:sdtEndPr/>
    <w:sdtContent>
      <w:p w14:paraId="0DF160B9" w14:textId="77777777" w:rsidR="00E23D34" w:rsidRPr="00E23D34" w:rsidRDefault="005C2971" w:rsidP="00E23D34">
        <w:pPr>
          <w:pStyle w:val="Pidipagina"/>
          <w:jc w:val="right"/>
          <w:rPr>
            <w:rFonts w:asciiTheme="majorHAnsi" w:hAnsiTheme="majorHAnsi"/>
            <w:sz w:val="16"/>
            <w:szCs w:val="16"/>
          </w:rPr>
        </w:pPr>
      </w:p>
    </w:sdtContent>
  </w:sdt>
  <w:p w14:paraId="00186171" w14:textId="77777777" w:rsidR="00E23D34" w:rsidRDefault="00E23D3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84B59" w14:textId="77777777" w:rsidR="005C2971" w:rsidRDefault="005C2971" w:rsidP="002F03A9">
      <w:r>
        <w:separator/>
      </w:r>
    </w:p>
  </w:footnote>
  <w:footnote w:type="continuationSeparator" w:id="0">
    <w:p w14:paraId="6DF66577" w14:textId="77777777" w:rsidR="005C2971" w:rsidRDefault="005C2971" w:rsidP="002F0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08"/>
    <w:rsid w:val="000034F5"/>
    <w:rsid w:val="00123EE1"/>
    <w:rsid w:val="00172A08"/>
    <w:rsid w:val="001C03EB"/>
    <w:rsid w:val="0020640A"/>
    <w:rsid w:val="00277898"/>
    <w:rsid w:val="002F03A9"/>
    <w:rsid w:val="0031625C"/>
    <w:rsid w:val="00340023"/>
    <w:rsid w:val="003E737A"/>
    <w:rsid w:val="00467072"/>
    <w:rsid w:val="004C50E5"/>
    <w:rsid w:val="0057158E"/>
    <w:rsid w:val="005C2971"/>
    <w:rsid w:val="00602CA6"/>
    <w:rsid w:val="00647948"/>
    <w:rsid w:val="007159A5"/>
    <w:rsid w:val="00720052"/>
    <w:rsid w:val="008A55DF"/>
    <w:rsid w:val="00945F5E"/>
    <w:rsid w:val="0095247E"/>
    <w:rsid w:val="009F6617"/>
    <w:rsid w:val="00AB6F9B"/>
    <w:rsid w:val="00AC0AF6"/>
    <w:rsid w:val="00D502BD"/>
    <w:rsid w:val="00D9001E"/>
    <w:rsid w:val="00E23D34"/>
    <w:rsid w:val="00E25DAE"/>
    <w:rsid w:val="00E7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0075A0A"/>
  <w14:defaultImageDpi w14:val="300"/>
  <w15:docId w15:val="{54532F9E-512C-4425-87F2-9A460813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A0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A08"/>
    <w:rPr>
      <w:rFonts w:ascii="Lucida Grande" w:hAnsi="Lucida Grande"/>
      <w:sz w:val="18"/>
      <w:szCs w:val="18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2F03A9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F03A9"/>
    <w:rPr>
      <w:rFonts w:ascii="Consolas" w:eastAsia="Calibri" w:hAnsi="Consolas"/>
      <w:sz w:val="21"/>
      <w:szCs w:val="21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F03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03A9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F03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3A9"/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8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file://localhost/Users/pbg4/Documents/documenti/ASIG:Corrisp.Generica/carta_intestata_filiera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detassare la comunicazione pubblicitaria per rilanciare gli investimenti – 16 marzo 2016</vt:lpstr>
    </vt:vector>
  </TitlesOfParts>
  <Company>ASIG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detassare la comunicazione pubblicitaria per rilanciare gli investimenti – 16 marzo 2016</dc:title>
  <dc:subject/>
  <dc:creator>Salvatore Curiale</dc:creator>
  <cp:keywords/>
  <dc:description/>
  <cp:lastModifiedBy>Flavio Fabbri</cp:lastModifiedBy>
  <cp:revision>2</cp:revision>
  <cp:lastPrinted>2016-03-14T10:41:00Z</cp:lastPrinted>
  <dcterms:created xsi:type="dcterms:W3CDTF">2016-03-17T09:50:00Z</dcterms:created>
  <dcterms:modified xsi:type="dcterms:W3CDTF">2016-03-17T09:50:00Z</dcterms:modified>
</cp:coreProperties>
</file>